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51957.xml.htm"/>
      <w:bookmarkStart w:id="1" w:name="kswkform4_178665195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Wilkinson Amy Marie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295 MADISON AVENUE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INNOVATE Corp.</w:t>
              </w:r>
            </w:hyperlink>
            <w:r>
              <w:rPr/>
              <w:t xml:space="preserve"> [ </w:t>
            </w:r>
            <w:r>
              <w:rPr>
                <w:rFonts w:ascii="Times;serif" w:hAnsi="Times;serif"/>
                <w:color w:val="0000FF"/>
                <w:sz w:val="24"/>
                <w:shd w:fill="FFFFFF" w:val="clear"/>
              </w:rPr>
              <w:t>VATE</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12,016</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58,920</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of restricted stock granted pursuant to the INNOVATE Corp. Second Amended and Restated 2014 Omnibus Equity Award Plan, as amended (the "Plan"). The shares will vest and become non-forfeitable on the earlier of (i) the first anniversary of the grant date and (ii) the first regular annual meeting of the Company's stockholders that occurs following the date of grant (subject to continued service with the Company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Amy M. Wilkinson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41582" TargetMode="External"/><Relationship Id="rId5" Type="http://schemas.openxmlformats.org/officeDocument/2006/relationships/hyperlink" Target="http://www.sec.gov/cgi-bin/browse-edgar?action=getcompany&amp;CIK=000100683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635</Words>
  <Characters>3433</Characters>
  <CharactersWithSpaces>4000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